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keepNext w:val="1"/>
        <w:pageBreakBefore w:val="1"/>
        <w:spacing w:after="120"/>
        <w:ind w:left="720" w:firstLine="720"/>
        <w:outlineLvl w:val="0"/>
        <w:rPr>
          <w:rFonts w:ascii="Georgia" w:cs="Georgia" w:hAnsi="Georgia" w:eastAsia="Georgia"/>
          <w:color w:val="6d6e71"/>
          <w:spacing w:val="-5"/>
          <w:sz w:val="24"/>
          <w:szCs w:val="24"/>
          <w:u w:color="6d6e71"/>
        </w:rPr>
      </w:pPr>
      <w:r>
        <w:rPr>
          <w:rFonts w:ascii="Georgia" w:hAnsi="Georgia"/>
          <w:color w:val="ac0000"/>
          <w:spacing w:val="-5"/>
          <w:sz w:val="28"/>
          <w:szCs w:val="28"/>
          <w:u w:color="ac0000"/>
        </w:rPr>
        <mc:AlternateContent>
          <mc:Choice Requires="wps">
            <w:drawing>
              <wp:anchor distT="0" distB="0" distL="0" distR="0" simplePos="0" relativeHeight="251662336" behindDoc="0" locked="0" layoutInCell="1" allowOverlap="1">
                <wp:simplePos x="0" y="0"/>
                <wp:positionH relativeFrom="column">
                  <wp:posOffset>920750</wp:posOffset>
                </wp:positionH>
                <wp:positionV relativeFrom="line">
                  <wp:posOffset>971550</wp:posOffset>
                </wp:positionV>
                <wp:extent cx="45720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57201" cy="0"/>
                        </a:xfrm>
                        <a:prstGeom prst="line">
                          <a:avLst/>
                        </a:prstGeom>
                        <a:noFill/>
                        <a:ln w="12700" cap="flat">
                          <a:solidFill>
                            <a:srgbClr val="AC0000"/>
                          </a:solidFill>
                          <a:prstDash val="solid"/>
                          <a:round/>
                        </a:ln>
                        <a:effectLst/>
                      </wps:spPr>
                      <wps:bodyPr/>
                    </wps:wsp>
                  </a:graphicData>
                </a:graphic>
              </wp:anchor>
            </w:drawing>
          </mc:Choice>
          <mc:Fallback>
            <w:pict>
              <v:line id="_x0000_s1026" style="visibility:visible;position:absolute;margin-left:72.5pt;margin-top:76.5pt;width:36.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AC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Georgia" w:hAnsi="Georgia"/>
          <w:color w:val="6d6e71"/>
          <w:spacing w:val="-5"/>
          <w:sz w:val="28"/>
          <w:szCs w:val="28"/>
          <w:u w:color="6d6e71"/>
        </w:rPr>
        <mc:AlternateContent>
          <mc:Choice Requires="wps">
            <w:drawing>
              <wp:anchor distT="0" distB="0" distL="0" distR="0" simplePos="0" relativeHeight="251661312" behindDoc="0" locked="0" layoutInCell="1" allowOverlap="1">
                <wp:simplePos x="0" y="0"/>
                <wp:positionH relativeFrom="column">
                  <wp:posOffset>920750</wp:posOffset>
                </wp:positionH>
                <wp:positionV relativeFrom="line">
                  <wp:posOffset>209550</wp:posOffset>
                </wp:positionV>
                <wp:extent cx="457201"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57201" cy="0"/>
                        </a:xfrm>
                        <a:prstGeom prst="line">
                          <a:avLst/>
                        </a:prstGeom>
                        <a:noFill/>
                        <a:ln w="12700" cap="flat">
                          <a:solidFill>
                            <a:srgbClr val="AC0000"/>
                          </a:solidFill>
                          <a:prstDash val="solid"/>
                          <a:round/>
                        </a:ln>
                        <a:effectLst/>
                      </wps:spPr>
                      <wps:bodyPr/>
                    </wps:wsp>
                  </a:graphicData>
                </a:graphic>
              </wp:anchor>
            </w:drawing>
          </mc:Choice>
          <mc:Fallback>
            <w:pict>
              <v:line id="_x0000_s1027" style="visibility:visible;position:absolute;margin-left:72.5pt;margin-top:16.5pt;width:36.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AC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Georgia" w:hAnsi="Georgia"/>
          <w:color w:val="6d6e71"/>
          <w:spacing w:val="-5"/>
          <w:sz w:val="28"/>
          <w:szCs w:val="28"/>
          <w:u w:color="6d6e71"/>
        </w:rPr>
        <w:drawing>
          <wp:anchor distT="0" distB="0" distL="0" distR="0" simplePos="0" relativeHeight="251659264" behindDoc="0" locked="0" layoutInCell="1" allowOverlap="1">
            <wp:simplePos x="0" y="0"/>
            <wp:positionH relativeFrom="page">
              <wp:posOffset>495300</wp:posOffset>
            </wp:positionH>
            <wp:positionV relativeFrom="line">
              <wp:posOffset>66675</wp:posOffset>
            </wp:positionV>
            <wp:extent cx="1724025" cy="172402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g"/>
                    <pic:cNvPicPr>
                      <a:picLocks noChangeAspect="1"/>
                    </pic:cNvPicPr>
                  </pic:nvPicPr>
                  <pic:blipFill>
                    <a:blip r:embed="rId4">
                      <a:extLst/>
                    </a:blip>
                    <a:stretch>
                      <a:fillRect/>
                    </a:stretch>
                  </pic:blipFill>
                  <pic:spPr>
                    <a:xfrm>
                      <a:off x="0" y="0"/>
                      <a:ext cx="1724025" cy="1724025"/>
                    </a:xfrm>
                    <a:prstGeom prst="rect">
                      <a:avLst/>
                    </a:prstGeom>
                    <a:ln w="12700" cap="flat">
                      <a:noFill/>
                      <a:miter lim="400000"/>
                    </a:ln>
                    <a:effectLst/>
                  </pic:spPr>
                </pic:pic>
              </a:graphicData>
            </a:graphic>
          </wp:anchor>
        </w:drawing>
      </w:r>
      <w:r>
        <w:rPr>
          <w:rFonts w:ascii="Georgia" w:hAnsi="Georgia"/>
          <w:color w:val="6d6e71"/>
          <w:spacing w:val="-5"/>
          <w:sz w:val="28"/>
          <w:szCs w:val="28"/>
          <w:u w:color="6d6e71"/>
          <w:rtl w:val="0"/>
          <w:lang w:val="fr-FR"/>
        </w:rPr>
        <w:t>Biography</w:t>
      </w:r>
    </w:p>
    <w:p>
      <w:pPr>
        <w:pStyle w:val="Body"/>
        <w:spacing w:before="240" w:line="288" w:lineRule="auto"/>
        <w:ind w:left="720" w:firstLine="720"/>
        <w:rPr>
          <w:b w:val="1"/>
          <w:bCs w:val="1"/>
          <w:color w:val="f37321"/>
          <w:sz w:val="24"/>
          <w:szCs w:val="24"/>
          <w:u w:color="f37321"/>
        </w:rPr>
      </w:pPr>
      <w:r>
        <w:rPr>
          <w:b w:val="1"/>
          <w:bCs w:val="1"/>
          <w:color w:val="ac0000"/>
          <w:sz w:val="24"/>
          <w:szCs w:val="24"/>
          <w:u w:color="ac0000"/>
        </w:rPr>
        <mc:AlternateContent>
          <mc:Choice Requires="wps">
            <w:drawing>
              <wp:anchor distT="0" distB="0" distL="0" distR="0" simplePos="0" relativeHeight="251660288" behindDoc="0" locked="0" layoutInCell="1" allowOverlap="1">
                <wp:simplePos x="0" y="0"/>
                <wp:positionH relativeFrom="column">
                  <wp:posOffset>-1337945</wp:posOffset>
                </wp:positionH>
                <wp:positionV relativeFrom="line">
                  <wp:posOffset>1780539</wp:posOffset>
                </wp:positionV>
                <wp:extent cx="1762761" cy="3217546"/>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762761" cy="3217546"/>
                        </a:xfrm>
                        <a:prstGeom prst="rect">
                          <a:avLst/>
                        </a:prstGeom>
                        <a:noFill/>
                        <a:ln w="12700" cap="flat">
                          <a:noFill/>
                          <a:miter lim="400000"/>
                        </a:ln>
                        <a:effectLst/>
                      </wps:spPr>
                      <wps:txbx>
                        <w:txbxContent>
                          <w:p>
                            <w:pPr>
                              <w:pStyle w:val="Body"/>
                              <w:ind w:left="1440" w:firstLine="0"/>
                            </w:pPr>
                          </w:p>
                          <w:p>
                            <w:pPr>
                              <w:pStyle w:val="PMI Sidebar Subhead 2"/>
                            </w:pPr>
                            <w:r>
                              <w:rPr>
                                <w:sz w:val="16"/>
                                <w:szCs w:val="16"/>
                                <w:rtl w:val="0"/>
                                <w:lang w:val="en-US"/>
                              </w:rPr>
                              <w:t>Contact Information</w:t>
                            </w:r>
                          </w:p>
                          <w:p>
                            <w:pPr>
                              <w:pStyle w:val="PMI Sidebar Body"/>
                            </w:pPr>
                            <w:r>
                              <w:rPr>
                                <w:rStyle w:val="Hyperlink.0"/>
                              </w:rPr>
                              <w:fldChar w:fldCharType="begin" w:fldLock="0"/>
                            </w:r>
                            <w:r>
                              <w:rPr>
                                <w:rStyle w:val="Hyperlink.0"/>
                              </w:rPr>
                              <w:instrText xml:space="preserve"> HYPERLINK "mailto:cvignone@pmbusinessadvisors.com"</w:instrText>
                            </w:r>
                            <w:r>
                              <w:rPr>
                                <w:rStyle w:val="Hyperlink.0"/>
                              </w:rPr>
                              <w:fldChar w:fldCharType="separate" w:fldLock="0"/>
                            </w:r>
                            <w:r>
                              <w:rPr>
                                <w:rStyle w:val="Hyperlink.0"/>
                                <w:rFonts w:cs="Arial Unicode MS" w:eastAsia="Arial Unicode MS"/>
                                <w:rtl w:val="0"/>
                              </w:rPr>
                              <w:t>cvignone@pmbusinessadvisors.com</w:t>
                            </w:r>
                            <w:r>
                              <w:rPr/>
                              <w:fldChar w:fldCharType="end" w:fldLock="0"/>
                            </w:r>
                          </w:p>
                          <w:p>
                            <w:pPr>
                              <w:pStyle w:val="PMI Sidebar Body"/>
                            </w:pPr>
                            <w:r>
                              <w:rPr>
                                <w:rFonts w:cs="Arial Unicode MS" w:eastAsia="Arial Unicode MS"/>
                                <w:b w:val="1"/>
                                <w:bCs w:val="1"/>
                                <w:color w:val="ac0000"/>
                                <w:sz w:val="16"/>
                                <w:szCs w:val="16"/>
                                <w:u w:color="ac0000"/>
                                <w:rtl w:val="0"/>
                                <w:lang w:val="en-US"/>
                              </w:rPr>
                              <w:t>T</w:t>
                            </w:r>
                            <w:r>
                              <w:rPr>
                                <w:b w:val="1"/>
                                <w:bCs w:val="1"/>
                                <w:color w:val="f37321"/>
                                <w:sz w:val="16"/>
                                <w:szCs w:val="16"/>
                                <w:u w:color="f37321"/>
                              </w:rPr>
                              <w:tab/>
                            </w:r>
                            <w:r>
                              <w:rPr>
                                <w:rFonts w:cs="Arial Unicode MS" w:eastAsia="Arial Unicode MS"/>
                                <w:sz w:val="16"/>
                                <w:szCs w:val="16"/>
                                <w:rtl w:val="0"/>
                                <w:lang w:val="en-US"/>
                              </w:rPr>
                              <w:t>914.218.1300 x566</w:t>
                            </w:r>
                          </w:p>
                          <w:p>
                            <w:pPr>
                              <w:pStyle w:val="PMI Sidebar Body"/>
                            </w:pPr>
                            <w:r>
                              <w:rPr>
                                <w:rFonts w:cs="Arial Unicode MS" w:eastAsia="Arial Unicode MS"/>
                                <w:b w:val="1"/>
                                <w:bCs w:val="1"/>
                                <w:color w:val="ac0000"/>
                                <w:sz w:val="16"/>
                                <w:szCs w:val="16"/>
                                <w:u w:color="ac0000"/>
                                <w:rtl w:val="0"/>
                                <w:lang w:val="en-US"/>
                              </w:rPr>
                              <w:t>C</w:t>
                            </w:r>
                            <w:r>
                              <w:rPr>
                                <w:b w:val="1"/>
                                <w:bCs w:val="1"/>
                                <w:color w:val="f37321"/>
                                <w:sz w:val="16"/>
                                <w:szCs w:val="16"/>
                                <w:u w:color="f37321"/>
                              </w:rPr>
                              <w:tab/>
                            </w:r>
                            <w:r>
                              <w:rPr>
                                <w:rFonts w:cs="Arial Unicode MS" w:eastAsia="Arial Unicode MS"/>
                                <w:color w:val="000000"/>
                                <w:sz w:val="16"/>
                                <w:szCs w:val="16"/>
                                <w:u w:color="000000"/>
                                <w:rtl w:val="0"/>
                                <w:lang w:val="en-US"/>
                              </w:rPr>
                              <w:t>646.593.0458</w:t>
                            </w:r>
                          </w:p>
                          <w:p>
                            <w:pPr>
                              <w:pStyle w:val="PMI Sidebar Body"/>
                            </w:pPr>
                          </w:p>
                          <w:p>
                            <w:pPr>
                              <w:pStyle w:val="PMI Sidebar Body"/>
                              <w:spacing w:before="120"/>
                            </w:pPr>
                          </w:p>
                          <w:p>
                            <w:pPr>
                              <w:pStyle w:val="PMI Sidebar Body"/>
                              <w:spacing w:before="120"/>
                            </w:pPr>
                            <w:r>
                              <w:rPr>
                                <w:sz w:val="16"/>
                                <w:szCs w:val="16"/>
                                <w:rtl w:val="0"/>
                                <w:lang w:val="en-US"/>
                              </w:rPr>
                              <w:t>PM Business Advisors, LLC</w:t>
                            </w:r>
                          </w:p>
                          <w:p>
                            <w:pPr>
                              <w:pStyle w:val="PMI Sidebar Body"/>
                            </w:pPr>
                            <w:r>
                              <w:rPr>
                                <w:rFonts w:cs="Arial Unicode MS" w:eastAsia="Arial Unicode MS"/>
                                <w:sz w:val="16"/>
                                <w:szCs w:val="16"/>
                                <w:rtl w:val="0"/>
                                <w:lang w:val="en-US"/>
                              </w:rPr>
                              <w:t>333 Westchester Ave E-1101</w:t>
                            </w:r>
                          </w:p>
                          <w:p>
                            <w:pPr>
                              <w:pStyle w:val="PMI Sidebar Body"/>
                            </w:pPr>
                            <w:r>
                              <w:rPr>
                                <w:rFonts w:cs="Arial Unicode MS" w:eastAsia="Arial Unicode MS"/>
                                <w:sz w:val="16"/>
                                <w:szCs w:val="16"/>
                                <w:rtl w:val="0"/>
                                <w:lang w:val="en-US"/>
                              </w:rPr>
                              <w:t>White Plains, NY 10604</w:t>
                            </w:r>
                          </w:p>
                          <w:p>
                            <w:pPr>
                              <w:pStyle w:val="PMI Sidebar Body"/>
                            </w:pPr>
                          </w:p>
                          <w:p>
                            <w:pPr>
                              <w:pStyle w:val="PMI Sidebar Body"/>
                            </w:pPr>
                          </w:p>
                          <w:p>
                            <w:pPr>
                              <w:pStyle w:val="PMI Sidebar Subhead 2"/>
                            </w:pPr>
                            <w:r>
                              <w:rPr>
                                <w:sz w:val="16"/>
                                <w:szCs w:val="16"/>
                                <w:rtl w:val="0"/>
                                <w:lang w:val="en-US"/>
                              </w:rPr>
                              <w:t>Practice Areas</w:t>
                            </w:r>
                          </w:p>
                          <w:p>
                            <w:pPr>
                              <w:pStyle w:val="PMI Sidebar Bullet"/>
                              <w:numPr>
                                <w:ilvl w:val="0"/>
                                <w:numId w:val="1"/>
                              </w:numPr>
                              <w:bidi w:val="0"/>
                              <w:ind w:right="0"/>
                              <w:jc w:val="left"/>
                              <w:rPr>
                                <w:sz w:val="16"/>
                                <w:szCs w:val="16"/>
                                <w:rtl w:val="0"/>
                                <w:lang w:val="en-US"/>
                              </w:rPr>
                            </w:pPr>
                            <w:r>
                              <w:rPr>
                                <w:sz w:val="16"/>
                                <w:szCs w:val="16"/>
                                <w:rtl w:val="0"/>
                                <w:lang w:val="en-US"/>
                              </w:rPr>
                              <w:t>Advisory Services</w:t>
                            </w:r>
                          </w:p>
                          <w:p>
                            <w:pPr>
                              <w:pStyle w:val="PMI Sidebar Bullet"/>
                              <w:numPr>
                                <w:ilvl w:val="0"/>
                                <w:numId w:val="1"/>
                              </w:numPr>
                              <w:bidi w:val="0"/>
                              <w:ind w:right="0"/>
                              <w:jc w:val="left"/>
                              <w:rPr>
                                <w:sz w:val="16"/>
                                <w:szCs w:val="16"/>
                                <w:rtl w:val="0"/>
                                <w:lang w:val="en-US"/>
                              </w:rPr>
                            </w:pPr>
                            <w:r>
                              <w:rPr>
                                <w:sz w:val="16"/>
                                <w:szCs w:val="16"/>
                                <w:rtl w:val="0"/>
                                <w:lang w:val="en-US"/>
                              </w:rPr>
                              <w:t>Tax Services</w:t>
                            </w:r>
                          </w:p>
                          <w:p>
                            <w:pPr>
                              <w:pStyle w:val="PMI Sidebar Subhead 2"/>
                            </w:pPr>
                            <w:r>
                              <w:rPr>
                                <w:sz w:val="16"/>
                                <w:szCs w:val="16"/>
                                <w:rtl w:val="0"/>
                                <w:lang w:val="en-US"/>
                              </w:rPr>
                              <w:t>Industry Expertise</w:t>
                            </w:r>
                          </w:p>
                          <w:p>
                            <w:pPr>
                              <w:pStyle w:val="PMI Sidebar Bullet"/>
                              <w:numPr>
                                <w:ilvl w:val="0"/>
                                <w:numId w:val="1"/>
                              </w:numPr>
                              <w:bidi w:val="0"/>
                              <w:ind w:right="0"/>
                              <w:jc w:val="left"/>
                              <w:rPr>
                                <w:sz w:val="16"/>
                                <w:szCs w:val="16"/>
                                <w:rtl w:val="0"/>
                                <w:lang w:val="en-US"/>
                              </w:rPr>
                            </w:pPr>
                            <w:r>
                              <w:rPr>
                                <w:sz w:val="16"/>
                                <w:szCs w:val="16"/>
                                <w:rtl w:val="0"/>
                                <w:lang w:val="en-US"/>
                              </w:rPr>
                              <w:t>Entrepreneurial</w:t>
                            </w:r>
                          </w:p>
                          <w:p>
                            <w:pPr>
                              <w:pStyle w:val="PMI Sidebar Bullet"/>
                              <w:numPr>
                                <w:ilvl w:val="0"/>
                                <w:numId w:val="1"/>
                              </w:numPr>
                              <w:bidi w:val="0"/>
                              <w:ind w:right="0"/>
                              <w:jc w:val="left"/>
                              <w:rPr>
                                <w:sz w:val="16"/>
                                <w:szCs w:val="16"/>
                                <w:rtl w:val="0"/>
                                <w:lang w:val="en-US"/>
                              </w:rPr>
                            </w:pPr>
                            <w:r>
                              <w:rPr>
                                <w:sz w:val="16"/>
                                <w:szCs w:val="16"/>
                                <w:rtl w:val="0"/>
                                <w:lang w:val="en-US"/>
                              </w:rPr>
                              <w:t>Financial Services</w:t>
                            </w:r>
                          </w:p>
                          <w:p>
                            <w:pPr>
                              <w:pStyle w:val="PMI Sidebar Bullet"/>
                              <w:numPr>
                                <w:ilvl w:val="0"/>
                                <w:numId w:val="1"/>
                              </w:numPr>
                              <w:bidi w:val="0"/>
                              <w:ind w:right="0"/>
                              <w:jc w:val="left"/>
                              <w:rPr>
                                <w:sz w:val="16"/>
                                <w:szCs w:val="16"/>
                                <w:rtl w:val="0"/>
                                <w:lang w:val="en-US"/>
                              </w:rPr>
                            </w:pPr>
                            <w:r>
                              <w:rPr>
                                <w:sz w:val="16"/>
                                <w:szCs w:val="16"/>
                                <w:rtl w:val="0"/>
                                <w:lang w:val="en-US"/>
                              </w:rPr>
                              <w:t>Manufacturing &amp; Distribution</w:t>
                            </w:r>
                          </w:p>
                          <w:p>
                            <w:pPr>
                              <w:pStyle w:val="PMI Sidebar Bullet"/>
                              <w:numPr>
                                <w:ilvl w:val="0"/>
                                <w:numId w:val="1"/>
                              </w:numPr>
                              <w:bidi w:val="0"/>
                              <w:ind w:right="0"/>
                              <w:jc w:val="left"/>
                              <w:rPr>
                                <w:sz w:val="16"/>
                                <w:szCs w:val="16"/>
                                <w:rtl w:val="0"/>
                                <w:lang w:val="en-US"/>
                              </w:rPr>
                            </w:pPr>
                            <w:r>
                              <w:rPr>
                                <w:sz w:val="16"/>
                                <w:szCs w:val="16"/>
                                <w:rtl w:val="0"/>
                                <w:lang w:val="en-US"/>
                              </w:rPr>
                              <w:t>Retail &amp; Consumer Products</w:t>
                            </w:r>
                          </w:p>
                          <w:p>
                            <w:pPr>
                              <w:pStyle w:val="PMI Sidebar Bullet"/>
                              <w:numPr>
                                <w:ilvl w:val="0"/>
                                <w:numId w:val="1"/>
                              </w:numPr>
                              <w:bidi w:val="0"/>
                              <w:ind w:right="0"/>
                              <w:jc w:val="left"/>
                              <w:rPr>
                                <w:sz w:val="16"/>
                                <w:szCs w:val="16"/>
                                <w:rtl w:val="0"/>
                                <w:lang w:val="en-US"/>
                              </w:rPr>
                            </w:pPr>
                            <w:r>
                              <w:rPr>
                                <w:sz w:val="16"/>
                                <w:szCs w:val="16"/>
                                <w:rtl w:val="0"/>
                                <w:lang w:val="en-US"/>
                              </w:rPr>
                              <w:t>Telecommunications</w:t>
                            </w:r>
                          </w:p>
                          <w:p>
                            <w:pPr>
                              <w:pStyle w:val="PMI Sidebar Subhead 2"/>
                            </w:pPr>
                            <w:r>
                              <w:rPr>
                                <w:sz w:val="16"/>
                                <w:szCs w:val="16"/>
                                <w:rtl w:val="0"/>
                                <w:lang w:val="en-US"/>
                              </w:rPr>
                              <w:t>Specialty</w:t>
                            </w:r>
                          </w:p>
                          <w:p>
                            <w:pPr>
                              <w:pStyle w:val="PMI Sidebar Bullet"/>
                              <w:numPr>
                                <w:ilvl w:val="0"/>
                                <w:numId w:val="1"/>
                              </w:numPr>
                              <w:bidi w:val="0"/>
                              <w:ind w:right="0"/>
                              <w:jc w:val="left"/>
                              <w:rPr>
                                <w:sz w:val="16"/>
                                <w:szCs w:val="16"/>
                                <w:rtl w:val="0"/>
                                <w:lang w:val="en-US"/>
                              </w:rPr>
                            </w:pPr>
                            <w:r>
                              <w:rPr>
                                <w:sz w:val="16"/>
                                <w:szCs w:val="16"/>
                                <w:rtl w:val="0"/>
                                <w:lang w:val="en-US"/>
                              </w:rPr>
                              <w:t>State &amp; Local Tax (SALT)</w:t>
                            </w:r>
                          </w:p>
                          <w:p>
                            <w:pPr>
                              <w:pStyle w:val="PMI Sidebar Bullet"/>
                              <w:numPr>
                                <w:ilvl w:val="0"/>
                                <w:numId w:val="1"/>
                              </w:numPr>
                              <w:bidi w:val="0"/>
                              <w:ind w:right="0"/>
                              <w:jc w:val="left"/>
                              <w:rPr>
                                <w:sz w:val="16"/>
                                <w:szCs w:val="16"/>
                                <w:rtl w:val="0"/>
                                <w:lang w:val="en-US"/>
                              </w:rPr>
                            </w:pPr>
                            <w:r>
                              <w:rPr>
                                <w:sz w:val="16"/>
                                <w:szCs w:val="16"/>
                                <w:rtl w:val="0"/>
                                <w:lang w:val="en-US"/>
                              </w:rPr>
                              <w:t>Unclaimed Property</w:t>
                            </w:r>
                          </w:p>
                          <w:p>
                            <w:pPr>
                              <w:pStyle w:val="PMI Sidebar Bullet"/>
                              <w:numPr>
                                <w:ilvl w:val="0"/>
                                <w:numId w:val="1"/>
                              </w:numPr>
                              <w:bidi w:val="0"/>
                              <w:ind w:right="0"/>
                              <w:jc w:val="left"/>
                              <w:rPr>
                                <w:sz w:val="16"/>
                                <w:szCs w:val="16"/>
                                <w:rtl w:val="0"/>
                                <w:lang w:val="en-US"/>
                              </w:rPr>
                            </w:pPr>
                            <w:r>
                              <w:rPr>
                                <w:sz w:val="16"/>
                                <w:szCs w:val="16"/>
                                <w:rtl w:val="0"/>
                                <w:lang w:val="en-US"/>
                              </w:rPr>
                              <w:t>Excise Taxes</w:t>
                            </w:r>
                          </w:p>
                        </w:txbxContent>
                      </wps:txbx>
                      <wps:bodyPr wrap="square" lIns="0" tIns="0" rIns="0" bIns="0" numCol="1" anchor="t">
                        <a:noAutofit/>
                      </wps:bodyPr>
                    </wps:wsp>
                  </a:graphicData>
                </a:graphic>
              </wp:anchor>
            </w:drawing>
          </mc:Choice>
          <mc:Fallback>
            <w:pict>
              <v:rect id="_x0000_s1028" style="visibility:visible;position:absolute;margin-left:-105.3pt;margin-top:140.2pt;width:138.8pt;height:253.4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ind w:left="1440" w:firstLine="0"/>
                      </w:pPr>
                    </w:p>
                    <w:p>
                      <w:pPr>
                        <w:pStyle w:val="PMI Sidebar Subhead 2"/>
                      </w:pPr>
                      <w:r>
                        <w:rPr>
                          <w:sz w:val="16"/>
                          <w:szCs w:val="16"/>
                          <w:rtl w:val="0"/>
                          <w:lang w:val="en-US"/>
                        </w:rPr>
                        <w:t>Contact Information</w:t>
                      </w:r>
                    </w:p>
                    <w:p>
                      <w:pPr>
                        <w:pStyle w:val="PMI Sidebar Body"/>
                      </w:pPr>
                      <w:r>
                        <w:rPr>
                          <w:rStyle w:val="Hyperlink.0"/>
                        </w:rPr>
                        <w:fldChar w:fldCharType="begin" w:fldLock="0"/>
                      </w:r>
                      <w:r>
                        <w:rPr>
                          <w:rStyle w:val="Hyperlink.0"/>
                        </w:rPr>
                        <w:instrText xml:space="preserve"> HYPERLINK "mailto:cvignone@pmbusinessadvisors.com"</w:instrText>
                      </w:r>
                      <w:r>
                        <w:rPr>
                          <w:rStyle w:val="Hyperlink.0"/>
                        </w:rPr>
                        <w:fldChar w:fldCharType="separate" w:fldLock="0"/>
                      </w:r>
                      <w:r>
                        <w:rPr>
                          <w:rStyle w:val="Hyperlink.0"/>
                          <w:rFonts w:cs="Arial Unicode MS" w:eastAsia="Arial Unicode MS"/>
                          <w:rtl w:val="0"/>
                        </w:rPr>
                        <w:t>cvignone@pmbusinessadvisors.com</w:t>
                      </w:r>
                      <w:r>
                        <w:rPr/>
                        <w:fldChar w:fldCharType="end" w:fldLock="0"/>
                      </w:r>
                    </w:p>
                    <w:p>
                      <w:pPr>
                        <w:pStyle w:val="PMI Sidebar Body"/>
                      </w:pPr>
                      <w:r>
                        <w:rPr>
                          <w:rFonts w:cs="Arial Unicode MS" w:eastAsia="Arial Unicode MS"/>
                          <w:b w:val="1"/>
                          <w:bCs w:val="1"/>
                          <w:color w:val="ac0000"/>
                          <w:sz w:val="16"/>
                          <w:szCs w:val="16"/>
                          <w:u w:color="ac0000"/>
                          <w:rtl w:val="0"/>
                          <w:lang w:val="en-US"/>
                        </w:rPr>
                        <w:t>T</w:t>
                      </w:r>
                      <w:r>
                        <w:rPr>
                          <w:b w:val="1"/>
                          <w:bCs w:val="1"/>
                          <w:color w:val="f37321"/>
                          <w:sz w:val="16"/>
                          <w:szCs w:val="16"/>
                          <w:u w:color="f37321"/>
                        </w:rPr>
                        <w:tab/>
                      </w:r>
                      <w:r>
                        <w:rPr>
                          <w:rFonts w:cs="Arial Unicode MS" w:eastAsia="Arial Unicode MS"/>
                          <w:sz w:val="16"/>
                          <w:szCs w:val="16"/>
                          <w:rtl w:val="0"/>
                          <w:lang w:val="en-US"/>
                        </w:rPr>
                        <w:t>914.218.1300 x566</w:t>
                      </w:r>
                    </w:p>
                    <w:p>
                      <w:pPr>
                        <w:pStyle w:val="PMI Sidebar Body"/>
                      </w:pPr>
                      <w:r>
                        <w:rPr>
                          <w:rFonts w:cs="Arial Unicode MS" w:eastAsia="Arial Unicode MS"/>
                          <w:b w:val="1"/>
                          <w:bCs w:val="1"/>
                          <w:color w:val="ac0000"/>
                          <w:sz w:val="16"/>
                          <w:szCs w:val="16"/>
                          <w:u w:color="ac0000"/>
                          <w:rtl w:val="0"/>
                          <w:lang w:val="en-US"/>
                        </w:rPr>
                        <w:t>C</w:t>
                      </w:r>
                      <w:r>
                        <w:rPr>
                          <w:b w:val="1"/>
                          <w:bCs w:val="1"/>
                          <w:color w:val="f37321"/>
                          <w:sz w:val="16"/>
                          <w:szCs w:val="16"/>
                          <w:u w:color="f37321"/>
                        </w:rPr>
                        <w:tab/>
                      </w:r>
                      <w:r>
                        <w:rPr>
                          <w:rFonts w:cs="Arial Unicode MS" w:eastAsia="Arial Unicode MS"/>
                          <w:color w:val="000000"/>
                          <w:sz w:val="16"/>
                          <w:szCs w:val="16"/>
                          <w:u w:color="000000"/>
                          <w:rtl w:val="0"/>
                          <w:lang w:val="en-US"/>
                        </w:rPr>
                        <w:t>646.593.0458</w:t>
                      </w:r>
                    </w:p>
                    <w:p>
                      <w:pPr>
                        <w:pStyle w:val="PMI Sidebar Body"/>
                      </w:pPr>
                    </w:p>
                    <w:p>
                      <w:pPr>
                        <w:pStyle w:val="PMI Sidebar Body"/>
                        <w:spacing w:before="120"/>
                      </w:pPr>
                    </w:p>
                    <w:p>
                      <w:pPr>
                        <w:pStyle w:val="PMI Sidebar Body"/>
                        <w:spacing w:before="120"/>
                      </w:pPr>
                      <w:r>
                        <w:rPr>
                          <w:sz w:val="16"/>
                          <w:szCs w:val="16"/>
                          <w:rtl w:val="0"/>
                          <w:lang w:val="en-US"/>
                        </w:rPr>
                        <w:t>PM Business Advisors, LLC</w:t>
                      </w:r>
                    </w:p>
                    <w:p>
                      <w:pPr>
                        <w:pStyle w:val="PMI Sidebar Body"/>
                      </w:pPr>
                      <w:r>
                        <w:rPr>
                          <w:rFonts w:cs="Arial Unicode MS" w:eastAsia="Arial Unicode MS"/>
                          <w:sz w:val="16"/>
                          <w:szCs w:val="16"/>
                          <w:rtl w:val="0"/>
                          <w:lang w:val="en-US"/>
                        </w:rPr>
                        <w:t>333 Westchester Ave E-1101</w:t>
                      </w:r>
                    </w:p>
                    <w:p>
                      <w:pPr>
                        <w:pStyle w:val="PMI Sidebar Body"/>
                      </w:pPr>
                      <w:r>
                        <w:rPr>
                          <w:rFonts w:cs="Arial Unicode MS" w:eastAsia="Arial Unicode MS"/>
                          <w:sz w:val="16"/>
                          <w:szCs w:val="16"/>
                          <w:rtl w:val="0"/>
                          <w:lang w:val="en-US"/>
                        </w:rPr>
                        <w:t>White Plains, NY 10604</w:t>
                      </w:r>
                    </w:p>
                    <w:p>
                      <w:pPr>
                        <w:pStyle w:val="PMI Sidebar Body"/>
                      </w:pPr>
                    </w:p>
                    <w:p>
                      <w:pPr>
                        <w:pStyle w:val="PMI Sidebar Body"/>
                      </w:pPr>
                    </w:p>
                    <w:p>
                      <w:pPr>
                        <w:pStyle w:val="PMI Sidebar Subhead 2"/>
                      </w:pPr>
                      <w:r>
                        <w:rPr>
                          <w:sz w:val="16"/>
                          <w:szCs w:val="16"/>
                          <w:rtl w:val="0"/>
                          <w:lang w:val="en-US"/>
                        </w:rPr>
                        <w:t>Practice Areas</w:t>
                      </w:r>
                    </w:p>
                    <w:p>
                      <w:pPr>
                        <w:pStyle w:val="PMI Sidebar Bullet"/>
                        <w:numPr>
                          <w:ilvl w:val="0"/>
                          <w:numId w:val="1"/>
                        </w:numPr>
                        <w:bidi w:val="0"/>
                        <w:ind w:right="0"/>
                        <w:jc w:val="left"/>
                        <w:rPr>
                          <w:sz w:val="16"/>
                          <w:szCs w:val="16"/>
                          <w:rtl w:val="0"/>
                          <w:lang w:val="en-US"/>
                        </w:rPr>
                      </w:pPr>
                      <w:r>
                        <w:rPr>
                          <w:sz w:val="16"/>
                          <w:szCs w:val="16"/>
                          <w:rtl w:val="0"/>
                          <w:lang w:val="en-US"/>
                        </w:rPr>
                        <w:t>Advisory Services</w:t>
                      </w:r>
                    </w:p>
                    <w:p>
                      <w:pPr>
                        <w:pStyle w:val="PMI Sidebar Bullet"/>
                        <w:numPr>
                          <w:ilvl w:val="0"/>
                          <w:numId w:val="1"/>
                        </w:numPr>
                        <w:bidi w:val="0"/>
                        <w:ind w:right="0"/>
                        <w:jc w:val="left"/>
                        <w:rPr>
                          <w:sz w:val="16"/>
                          <w:szCs w:val="16"/>
                          <w:rtl w:val="0"/>
                          <w:lang w:val="en-US"/>
                        </w:rPr>
                      </w:pPr>
                      <w:r>
                        <w:rPr>
                          <w:sz w:val="16"/>
                          <w:szCs w:val="16"/>
                          <w:rtl w:val="0"/>
                          <w:lang w:val="en-US"/>
                        </w:rPr>
                        <w:t>Tax Services</w:t>
                      </w:r>
                    </w:p>
                    <w:p>
                      <w:pPr>
                        <w:pStyle w:val="PMI Sidebar Subhead 2"/>
                      </w:pPr>
                      <w:r>
                        <w:rPr>
                          <w:sz w:val="16"/>
                          <w:szCs w:val="16"/>
                          <w:rtl w:val="0"/>
                          <w:lang w:val="en-US"/>
                        </w:rPr>
                        <w:t>Industry Expertise</w:t>
                      </w:r>
                    </w:p>
                    <w:p>
                      <w:pPr>
                        <w:pStyle w:val="PMI Sidebar Bullet"/>
                        <w:numPr>
                          <w:ilvl w:val="0"/>
                          <w:numId w:val="1"/>
                        </w:numPr>
                        <w:bidi w:val="0"/>
                        <w:ind w:right="0"/>
                        <w:jc w:val="left"/>
                        <w:rPr>
                          <w:sz w:val="16"/>
                          <w:szCs w:val="16"/>
                          <w:rtl w:val="0"/>
                          <w:lang w:val="en-US"/>
                        </w:rPr>
                      </w:pPr>
                      <w:r>
                        <w:rPr>
                          <w:sz w:val="16"/>
                          <w:szCs w:val="16"/>
                          <w:rtl w:val="0"/>
                          <w:lang w:val="en-US"/>
                        </w:rPr>
                        <w:t>Entrepreneurial</w:t>
                      </w:r>
                    </w:p>
                    <w:p>
                      <w:pPr>
                        <w:pStyle w:val="PMI Sidebar Bullet"/>
                        <w:numPr>
                          <w:ilvl w:val="0"/>
                          <w:numId w:val="1"/>
                        </w:numPr>
                        <w:bidi w:val="0"/>
                        <w:ind w:right="0"/>
                        <w:jc w:val="left"/>
                        <w:rPr>
                          <w:sz w:val="16"/>
                          <w:szCs w:val="16"/>
                          <w:rtl w:val="0"/>
                          <w:lang w:val="en-US"/>
                        </w:rPr>
                      </w:pPr>
                      <w:r>
                        <w:rPr>
                          <w:sz w:val="16"/>
                          <w:szCs w:val="16"/>
                          <w:rtl w:val="0"/>
                          <w:lang w:val="en-US"/>
                        </w:rPr>
                        <w:t>Financial Services</w:t>
                      </w:r>
                    </w:p>
                    <w:p>
                      <w:pPr>
                        <w:pStyle w:val="PMI Sidebar Bullet"/>
                        <w:numPr>
                          <w:ilvl w:val="0"/>
                          <w:numId w:val="1"/>
                        </w:numPr>
                        <w:bidi w:val="0"/>
                        <w:ind w:right="0"/>
                        <w:jc w:val="left"/>
                        <w:rPr>
                          <w:sz w:val="16"/>
                          <w:szCs w:val="16"/>
                          <w:rtl w:val="0"/>
                          <w:lang w:val="en-US"/>
                        </w:rPr>
                      </w:pPr>
                      <w:r>
                        <w:rPr>
                          <w:sz w:val="16"/>
                          <w:szCs w:val="16"/>
                          <w:rtl w:val="0"/>
                          <w:lang w:val="en-US"/>
                        </w:rPr>
                        <w:t>Manufacturing &amp; Distribution</w:t>
                      </w:r>
                    </w:p>
                    <w:p>
                      <w:pPr>
                        <w:pStyle w:val="PMI Sidebar Bullet"/>
                        <w:numPr>
                          <w:ilvl w:val="0"/>
                          <w:numId w:val="1"/>
                        </w:numPr>
                        <w:bidi w:val="0"/>
                        <w:ind w:right="0"/>
                        <w:jc w:val="left"/>
                        <w:rPr>
                          <w:sz w:val="16"/>
                          <w:szCs w:val="16"/>
                          <w:rtl w:val="0"/>
                          <w:lang w:val="en-US"/>
                        </w:rPr>
                      </w:pPr>
                      <w:r>
                        <w:rPr>
                          <w:sz w:val="16"/>
                          <w:szCs w:val="16"/>
                          <w:rtl w:val="0"/>
                          <w:lang w:val="en-US"/>
                        </w:rPr>
                        <w:t>Retail &amp; Consumer Products</w:t>
                      </w:r>
                    </w:p>
                    <w:p>
                      <w:pPr>
                        <w:pStyle w:val="PMI Sidebar Bullet"/>
                        <w:numPr>
                          <w:ilvl w:val="0"/>
                          <w:numId w:val="1"/>
                        </w:numPr>
                        <w:bidi w:val="0"/>
                        <w:ind w:right="0"/>
                        <w:jc w:val="left"/>
                        <w:rPr>
                          <w:sz w:val="16"/>
                          <w:szCs w:val="16"/>
                          <w:rtl w:val="0"/>
                          <w:lang w:val="en-US"/>
                        </w:rPr>
                      </w:pPr>
                      <w:r>
                        <w:rPr>
                          <w:sz w:val="16"/>
                          <w:szCs w:val="16"/>
                          <w:rtl w:val="0"/>
                          <w:lang w:val="en-US"/>
                        </w:rPr>
                        <w:t>Telecommunications</w:t>
                      </w:r>
                    </w:p>
                    <w:p>
                      <w:pPr>
                        <w:pStyle w:val="PMI Sidebar Subhead 2"/>
                      </w:pPr>
                      <w:r>
                        <w:rPr>
                          <w:sz w:val="16"/>
                          <w:szCs w:val="16"/>
                          <w:rtl w:val="0"/>
                          <w:lang w:val="en-US"/>
                        </w:rPr>
                        <w:t>Specialty</w:t>
                      </w:r>
                    </w:p>
                    <w:p>
                      <w:pPr>
                        <w:pStyle w:val="PMI Sidebar Bullet"/>
                        <w:numPr>
                          <w:ilvl w:val="0"/>
                          <w:numId w:val="1"/>
                        </w:numPr>
                        <w:bidi w:val="0"/>
                        <w:ind w:right="0"/>
                        <w:jc w:val="left"/>
                        <w:rPr>
                          <w:sz w:val="16"/>
                          <w:szCs w:val="16"/>
                          <w:rtl w:val="0"/>
                          <w:lang w:val="en-US"/>
                        </w:rPr>
                      </w:pPr>
                      <w:r>
                        <w:rPr>
                          <w:sz w:val="16"/>
                          <w:szCs w:val="16"/>
                          <w:rtl w:val="0"/>
                          <w:lang w:val="en-US"/>
                        </w:rPr>
                        <w:t>State &amp; Local Tax (SALT)</w:t>
                      </w:r>
                    </w:p>
                    <w:p>
                      <w:pPr>
                        <w:pStyle w:val="PMI Sidebar Bullet"/>
                        <w:numPr>
                          <w:ilvl w:val="0"/>
                          <w:numId w:val="1"/>
                        </w:numPr>
                        <w:bidi w:val="0"/>
                        <w:ind w:right="0"/>
                        <w:jc w:val="left"/>
                        <w:rPr>
                          <w:sz w:val="16"/>
                          <w:szCs w:val="16"/>
                          <w:rtl w:val="0"/>
                          <w:lang w:val="en-US"/>
                        </w:rPr>
                      </w:pPr>
                      <w:r>
                        <w:rPr>
                          <w:sz w:val="16"/>
                          <w:szCs w:val="16"/>
                          <w:rtl w:val="0"/>
                          <w:lang w:val="en-US"/>
                        </w:rPr>
                        <w:t>Unclaimed Property</w:t>
                      </w:r>
                    </w:p>
                    <w:p>
                      <w:pPr>
                        <w:pStyle w:val="PMI Sidebar Bullet"/>
                        <w:numPr>
                          <w:ilvl w:val="0"/>
                          <w:numId w:val="1"/>
                        </w:numPr>
                        <w:bidi w:val="0"/>
                        <w:ind w:right="0"/>
                        <w:jc w:val="left"/>
                        <w:rPr>
                          <w:sz w:val="16"/>
                          <w:szCs w:val="16"/>
                          <w:rtl w:val="0"/>
                          <w:lang w:val="en-US"/>
                        </w:rPr>
                      </w:pPr>
                      <w:r>
                        <w:rPr>
                          <w:sz w:val="16"/>
                          <w:szCs w:val="16"/>
                          <w:rtl w:val="0"/>
                          <w:lang w:val="en-US"/>
                        </w:rPr>
                        <w:t>Excise Taxes</w:t>
                      </w:r>
                    </w:p>
                  </w:txbxContent>
                </v:textbox>
                <w10:wrap type="none" side="bothSides" anchorx="text"/>
              </v:rect>
            </w:pict>
          </mc:Fallback>
        </mc:AlternateContent>
      </w:r>
      <w:r>
        <w:rPr>
          <w:b w:val="1"/>
          <w:bCs w:val="1"/>
          <w:color w:val="ac0000"/>
          <w:sz w:val="24"/>
          <w:szCs w:val="24"/>
          <w:u w:color="ac0000"/>
          <w:rtl w:val="0"/>
          <w:lang w:val="it-IT"/>
        </w:rPr>
        <w:t>Chris Vignone, MBA</w:t>
      </w:r>
    </w:p>
    <w:p>
      <w:pPr>
        <w:pStyle w:val="Body"/>
        <w:spacing w:after="40"/>
        <w:ind w:left="720" w:firstLine="720"/>
        <w:rPr>
          <w:color w:val="231f20"/>
          <w:sz w:val="20"/>
          <w:szCs w:val="20"/>
          <w:u w:color="231f20"/>
        </w:rPr>
      </w:pPr>
      <w:r>
        <w:rPr>
          <w:color w:val="231f20"/>
          <w:sz w:val="20"/>
          <w:szCs w:val="20"/>
          <w:u w:color="231f20"/>
          <w:rtl w:val="0"/>
          <w:lang w:val="en-US"/>
        </w:rPr>
        <w:t>CEO, Managing Director</w:t>
      </w:r>
    </w:p>
    <w:p>
      <w:pPr>
        <w:pStyle w:val="Body"/>
        <w:spacing w:after="40"/>
        <w:ind w:left="1620" w:firstLine="0"/>
        <w:rPr>
          <w:color w:val="231f20"/>
          <w:u w:color="231f20"/>
        </w:rPr>
      </w:pPr>
    </w:p>
    <w:p>
      <w:pPr>
        <w:pStyle w:val="Body"/>
        <w:keepNext w:val="1"/>
        <w:spacing w:before="360" w:after="60" w:line="264" w:lineRule="auto"/>
        <w:ind w:left="720" w:firstLine="720"/>
        <w:outlineLvl w:val="1"/>
        <w:rPr>
          <w:b w:val="1"/>
          <w:bCs w:val="1"/>
          <w:color w:val="ac0000"/>
          <w:spacing w:val="-5"/>
          <w:sz w:val="20"/>
          <w:szCs w:val="20"/>
          <w:u w:color="ac0000"/>
        </w:rPr>
      </w:pPr>
      <w:r>
        <w:rPr>
          <w:b w:val="1"/>
          <w:bCs w:val="1"/>
          <w:color w:val="ac0000"/>
          <w:spacing w:val="-5"/>
          <w:sz w:val="20"/>
          <w:szCs w:val="20"/>
          <w:u w:color="ac0000"/>
          <w:rtl w:val="0"/>
          <w:lang w:val="en-US"/>
        </w:rPr>
        <w:t>Professional Experience</w:t>
      </w:r>
    </w:p>
    <w:p>
      <w:pPr>
        <w:pStyle w:val="Body"/>
        <w:widowControl w:val="0"/>
        <w:ind w:left="1440" w:firstLine="0"/>
        <w:jc w:val="both"/>
        <w:rPr>
          <w:sz w:val="20"/>
          <w:szCs w:val="20"/>
        </w:rPr>
      </w:pPr>
      <w:r>
        <w:rPr>
          <w:sz w:val="20"/>
          <w:szCs w:val="20"/>
          <w:rtl w:val="0"/>
          <w:lang w:val="en-US"/>
        </w:rPr>
        <w:t>Chris Vignone is the CEO and Managing Director of State &amp; Local Advisory Services for PM Business Advisors, LLC. He has been in the accounting industry for nearly 20 years. Chris</w:t>
      </w:r>
      <w:r>
        <w:rPr>
          <w:sz w:val="20"/>
          <w:szCs w:val="20"/>
          <w:rtl w:val="0"/>
          <w:lang w:val="en-US"/>
        </w:rPr>
        <w:t xml:space="preserve"> has a wide range of corporate and consulting tax expertise including state and local tax, unclaimed property, sales and use tax solutions, credits and incentives and telecommunications tax services. He has worked with companies of all sizes and industries including entrepreneurial, manufacturing and distribution, and retail and consumer products.</w:t>
      </w:r>
    </w:p>
    <w:p>
      <w:pPr>
        <w:pStyle w:val="Body"/>
        <w:widowControl w:val="0"/>
        <w:ind w:left="1440" w:firstLine="0"/>
        <w:jc w:val="both"/>
        <w:rPr>
          <w:sz w:val="20"/>
          <w:szCs w:val="20"/>
          <w:lang w:val="en-US"/>
        </w:rPr>
      </w:pPr>
    </w:p>
    <w:p>
      <w:pPr>
        <w:pStyle w:val="Body"/>
        <w:widowControl w:val="0"/>
        <w:ind w:left="1440" w:firstLine="0"/>
        <w:jc w:val="both"/>
        <w:rPr>
          <w:sz w:val="20"/>
          <w:szCs w:val="20"/>
        </w:rPr>
      </w:pPr>
      <w:r>
        <w:rPr>
          <w:sz w:val="20"/>
          <w:szCs w:val="20"/>
          <w:rtl w:val="0"/>
          <w:lang w:val="en-US"/>
        </w:rPr>
        <w:t xml:space="preserve">During his time in private industry, Chris developed extensive knowledge with entrepreneurial, technology and telecommunications companies. During his time as Tax Director for a publicly traded telecommunications company, Chris managed a tax compliance function that generated over 250 tax returns on a monthly basis and spearheaded negotiations with various state and local governments that generated over $10M in grants, incentives and tax breaks. </w:t>
      </w:r>
    </w:p>
    <w:p>
      <w:pPr>
        <w:pStyle w:val="Body"/>
        <w:widowControl w:val="0"/>
        <w:ind w:left="1440" w:firstLine="0"/>
        <w:jc w:val="both"/>
        <w:rPr>
          <w:sz w:val="20"/>
          <w:szCs w:val="20"/>
          <w:lang w:val="en-US"/>
        </w:rPr>
      </w:pPr>
    </w:p>
    <w:p>
      <w:pPr>
        <w:pStyle w:val="Body"/>
        <w:widowControl w:val="0"/>
        <w:ind w:left="1440" w:firstLine="0"/>
        <w:jc w:val="both"/>
        <w:rPr>
          <w:sz w:val="20"/>
          <w:szCs w:val="20"/>
        </w:rPr>
      </w:pPr>
      <w:r>
        <w:rPr>
          <w:sz w:val="20"/>
          <w:szCs w:val="20"/>
          <w:rtl w:val="0"/>
          <w:lang w:val="en-US"/>
        </w:rPr>
        <w:t xml:space="preserve">As Partner in a regional State &amp; Local Tax consulting practice, Chris managed large scale tax consulting projects for Fortune 100 companies. These projects generally focused on recovery of overpaid taxes and re-engineering of the tax functions for process improvements. Chris has been successful in identifying and recovering over $150M in tax savings for his clients over the past 13 years. </w:t>
      </w:r>
    </w:p>
    <w:p>
      <w:pPr>
        <w:pStyle w:val="Body"/>
        <w:widowControl w:val="0"/>
        <w:jc w:val="both"/>
        <w:rPr>
          <w:sz w:val="20"/>
          <w:szCs w:val="20"/>
          <w:lang w:val="en-US"/>
        </w:rPr>
      </w:pPr>
    </w:p>
    <w:p>
      <w:pPr>
        <w:pStyle w:val="Body"/>
        <w:ind w:left="1440" w:firstLine="0"/>
        <w:jc w:val="both"/>
        <w:rPr>
          <w:sz w:val="20"/>
          <w:szCs w:val="20"/>
        </w:rPr>
      </w:pPr>
      <w:r>
        <w:rPr>
          <w:sz w:val="20"/>
          <w:szCs w:val="20"/>
          <w:rtl w:val="0"/>
          <w:lang w:val="en-US"/>
        </w:rPr>
        <w:t xml:space="preserve">Chris is also a noted expert and thought leader in his field. Chris often speaks and teaches at various industry events such as TEI, NYSSCPA, i-Shade, and on webinars of various subject matter. Chris has also participated in drafting and lobbying for various pieces of state legislation related to sales and telecommunication taxes. </w:t>
      </w:r>
    </w:p>
    <w:p>
      <w:pPr>
        <w:pStyle w:val="Body"/>
        <w:ind w:left="1440" w:firstLine="0"/>
        <w:jc w:val="both"/>
        <w:rPr>
          <w:sz w:val="20"/>
          <w:szCs w:val="20"/>
          <w:lang w:val="en-US"/>
        </w:rPr>
      </w:pPr>
    </w:p>
    <w:p>
      <w:pPr>
        <w:pStyle w:val="Body"/>
        <w:ind w:left="1440" w:firstLine="0"/>
        <w:jc w:val="both"/>
        <w:rPr>
          <w:sz w:val="20"/>
          <w:szCs w:val="20"/>
        </w:rPr>
      </w:pPr>
      <w:r>
        <w:rPr>
          <w:sz w:val="20"/>
          <w:szCs w:val="20"/>
          <w:rtl w:val="0"/>
          <w:lang w:val="en-US"/>
        </w:rPr>
        <w:t xml:space="preserve">Over the past 20 years, Chris has developed a well-respected relationship with several large taxpayer states including New York. He has assisted in resolving many sales tax matters across all offices and districts. Chris has also participated in several joint policy sessions between the state and private industry. </w:t>
      </w:r>
    </w:p>
    <w:p>
      <w:pPr>
        <w:pStyle w:val="Body"/>
        <w:keepNext w:val="1"/>
        <w:spacing w:before="360" w:after="60" w:line="264" w:lineRule="auto"/>
        <w:ind w:left="720" w:firstLine="720"/>
        <w:outlineLvl w:val="1"/>
        <w:rPr>
          <w:b w:val="1"/>
          <w:bCs w:val="1"/>
          <w:color w:val="ac0000"/>
          <w:spacing w:val="0"/>
          <w:u w:color="ac0000"/>
        </w:rPr>
      </w:pPr>
      <w:r>
        <w:rPr>
          <w:b w:val="1"/>
          <w:bCs w:val="1"/>
          <w:color w:val="ac0000"/>
          <w:spacing w:val="0"/>
          <w:u w:color="ac0000"/>
          <w:rtl w:val="0"/>
          <w:lang w:val="en-US"/>
        </w:rPr>
        <w:t>Education</w:t>
      </w:r>
    </w:p>
    <w:p>
      <w:pPr>
        <w:pStyle w:val="Body"/>
        <w:ind w:left="720" w:firstLine="720"/>
      </w:pPr>
      <w:r>
        <w:rPr>
          <w:rtl w:val="0"/>
          <w:lang w:val="en-US"/>
        </w:rPr>
        <w:t>MBA, Accounting, Pace University, New York</w:t>
      </w:r>
    </w:p>
    <w:p>
      <w:pPr>
        <w:pStyle w:val="Body"/>
        <w:ind w:left="720" w:firstLine="720"/>
      </w:pPr>
      <w:r>
        <w:rPr>
          <w:rtl w:val="0"/>
          <w:lang w:val="en-US"/>
        </w:rPr>
        <w:t>BA, Accounting, Pace University, New York</w:t>
      </w:r>
      <w:r/>
    </w:p>
    <w:sectPr>
      <w:headerReference w:type="default" r:id="rId5"/>
      <w:footerReference w:type="default" r:id="rId6"/>
      <w:pgSz w:w="12240" w:h="15840" w:orient="portrait"/>
      <w:pgMar w:top="2880" w:right="965" w:bottom="720" w:left="2880" w:header="360"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5097145</wp:posOffset>
          </wp:positionH>
          <wp:positionV relativeFrom="page">
            <wp:posOffset>512445</wp:posOffset>
          </wp:positionV>
          <wp:extent cx="2441057" cy="81888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extLst/>
                  </a:blip>
                  <a:stretch>
                    <a:fillRect/>
                  </a:stretch>
                </pic:blipFill>
                <pic:spPr>
                  <a:xfrm>
                    <a:off x="0" y="0"/>
                    <a:ext cx="2441057" cy="818884"/>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clear" w:pos="115"/>
        </w:tabs>
        <w:ind w:left="115" w:hanging="115"/>
      </w:pPr>
      <w:rPr>
        <w:rFonts w:ascii="Symbol" w:cs="Symbol" w:hAnsi="Symbol" w:eastAsia="Symbol"/>
        <w:b w:val="0"/>
        <w:bCs w:val="0"/>
        <w:i w:val="0"/>
        <w:iCs w:val="0"/>
        <w:caps w:val="0"/>
        <w:smallCaps w:val="0"/>
        <w:strike w:val="0"/>
        <w:dstrike w:val="0"/>
        <w:outline w:val="0"/>
        <w:emboss w:val="0"/>
        <w:imprint w:val="0"/>
        <w:color w:val="ac0000"/>
        <w:spacing w:val="0"/>
        <w:w w:val="100"/>
        <w:kern w:val="0"/>
        <w:position w:val="0"/>
        <w:highlight w:val="none"/>
        <w:vertAlign w:val="baseline"/>
      </w:rPr>
    </w:lvl>
    <w:lvl w:ilvl="1">
      <w:start w:val="1"/>
      <w:numFmt w:val="bullet"/>
      <w:suff w:val="tab"/>
      <w:lvlText w:val="o"/>
      <w:lvlJc w:val="left"/>
      <w:pPr>
        <w:ind w:left="835" w:hanging="115"/>
      </w:pPr>
      <w:rPr>
        <w:rFonts w:ascii="Arial Unicode MS" w:cs="Arial Unicode MS" w:hAnsi="Arial Unicode MS" w:eastAsia="Arial Unicode MS"/>
        <w:b w:val="0"/>
        <w:bCs w:val="0"/>
        <w:i w:val="0"/>
        <w:iCs w:val="0"/>
        <w:caps w:val="0"/>
        <w:smallCaps w:val="0"/>
        <w:strike w:val="0"/>
        <w:dstrike w:val="0"/>
        <w:outline w:val="0"/>
        <w:emboss w:val="0"/>
        <w:imprint w:val="0"/>
        <w:color w:val="ac0000"/>
        <w:spacing w:val="0"/>
        <w:w w:val="100"/>
        <w:kern w:val="0"/>
        <w:position w:val="0"/>
        <w:highlight w:val="none"/>
        <w:vertAlign w:val="baseline"/>
      </w:rPr>
    </w:lvl>
    <w:lvl w:ilvl="2">
      <w:start w:val="1"/>
      <w:numFmt w:val="bullet"/>
      <w:suff w:val="tab"/>
      <w:lvlText w:val="▪"/>
      <w:lvlJc w:val="left"/>
      <w:pPr>
        <w:ind w:left="1555" w:hanging="115"/>
      </w:pPr>
      <w:rPr>
        <w:rFonts w:ascii="Arial Unicode MS" w:cs="Arial Unicode MS" w:hAnsi="Arial Unicode MS" w:eastAsia="Arial Unicode MS"/>
        <w:b w:val="0"/>
        <w:bCs w:val="0"/>
        <w:i w:val="0"/>
        <w:iCs w:val="0"/>
        <w:caps w:val="0"/>
        <w:smallCaps w:val="0"/>
        <w:strike w:val="0"/>
        <w:dstrike w:val="0"/>
        <w:outline w:val="0"/>
        <w:emboss w:val="0"/>
        <w:imprint w:val="0"/>
        <w:color w:val="ac0000"/>
        <w:spacing w:val="0"/>
        <w:w w:val="100"/>
        <w:kern w:val="0"/>
        <w:position w:val="0"/>
        <w:highlight w:val="none"/>
        <w:vertAlign w:val="baseline"/>
      </w:rPr>
    </w:lvl>
    <w:lvl w:ilvl="3">
      <w:start w:val="1"/>
      <w:numFmt w:val="bullet"/>
      <w:suff w:val="tab"/>
      <w:lvlText w:val="•"/>
      <w:lvlJc w:val="left"/>
      <w:pPr>
        <w:ind w:left="2275" w:hanging="115"/>
      </w:pPr>
      <w:rPr>
        <w:rFonts w:ascii="Symbol" w:cs="Symbol" w:hAnsi="Symbol" w:eastAsia="Symbol"/>
        <w:b w:val="0"/>
        <w:bCs w:val="0"/>
        <w:i w:val="0"/>
        <w:iCs w:val="0"/>
        <w:caps w:val="0"/>
        <w:smallCaps w:val="0"/>
        <w:strike w:val="0"/>
        <w:dstrike w:val="0"/>
        <w:outline w:val="0"/>
        <w:emboss w:val="0"/>
        <w:imprint w:val="0"/>
        <w:color w:val="ac0000"/>
        <w:spacing w:val="0"/>
        <w:w w:val="100"/>
        <w:kern w:val="0"/>
        <w:position w:val="0"/>
        <w:highlight w:val="none"/>
        <w:vertAlign w:val="baseline"/>
      </w:rPr>
    </w:lvl>
    <w:lvl w:ilvl="4">
      <w:start w:val="1"/>
      <w:numFmt w:val="bullet"/>
      <w:suff w:val="tab"/>
      <w:lvlText w:val="o"/>
      <w:lvlJc w:val="left"/>
      <w:pPr>
        <w:ind w:left="2995" w:hanging="115"/>
      </w:pPr>
      <w:rPr>
        <w:rFonts w:ascii="Arial Unicode MS" w:cs="Arial Unicode MS" w:hAnsi="Arial Unicode MS" w:eastAsia="Arial Unicode MS"/>
        <w:b w:val="0"/>
        <w:bCs w:val="0"/>
        <w:i w:val="0"/>
        <w:iCs w:val="0"/>
        <w:caps w:val="0"/>
        <w:smallCaps w:val="0"/>
        <w:strike w:val="0"/>
        <w:dstrike w:val="0"/>
        <w:outline w:val="0"/>
        <w:emboss w:val="0"/>
        <w:imprint w:val="0"/>
        <w:color w:val="ac0000"/>
        <w:spacing w:val="0"/>
        <w:w w:val="100"/>
        <w:kern w:val="0"/>
        <w:position w:val="0"/>
        <w:highlight w:val="none"/>
        <w:vertAlign w:val="baseline"/>
      </w:rPr>
    </w:lvl>
    <w:lvl w:ilvl="5">
      <w:start w:val="1"/>
      <w:numFmt w:val="bullet"/>
      <w:suff w:val="tab"/>
      <w:lvlText w:val="▪"/>
      <w:lvlJc w:val="left"/>
      <w:pPr>
        <w:ind w:left="3715" w:hanging="115"/>
      </w:pPr>
      <w:rPr>
        <w:rFonts w:ascii="Arial Unicode MS" w:cs="Arial Unicode MS" w:hAnsi="Arial Unicode MS" w:eastAsia="Arial Unicode MS"/>
        <w:b w:val="0"/>
        <w:bCs w:val="0"/>
        <w:i w:val="0"/>
        <w:iCs w:val="0"/>
        <w:caps w:val="0"/>
        <w:smallCaps w:val="0"/>
        <w:strike w:val="0"/>
        <w:dstrike w:val="0"/>
        <w:outline w:val="0"/>
        <w:emboss w:val="0"/>
        <w:imprint w:val="0"/>
        <w:color w:val="ac0000"/>
        <w:spacing w:val="0"/>
        <w:w w:val="100"/>
        <w:kern w:val="0"/>
        <w:position w:val="0"/>
        <w:highlight w:val="none"/>
        <w:vertAlign w:val="baseline"/>
      </w:rPr>
    </w:lvl>
    <w:lvl w:ilvl="6">
      <w:start w:val="1"/>
      <w:numFmt w:val="bullet"/>
      <w:suff w:val="tab"/>
      <w:lvlText w:val="•"/>
      <w:lvlJc w:val="left"/>
      <w:pPr>
        <w:ind w:left="4435" w:hanging="115"/>
      </w:pPr>
      <w:rPr>
        <w:rFonts w:ascii="Symbol" w:cs="Symbol" w:hAnsi="Symbol" w:eastAsia="Symbol"/>
        <w:b w:val="0"/>
        <w:bCs w:val="0"/>
        <w:i w:val="0"/>
        <w:iCs w:val="0"/>
        <w:caps w:val="0"/>
        <w:smallCaps w:val="0"/>
        <w:strike w:val="0"/>
        <w:dstrike w:val="0"/>
        <w:outline w:val="0"/>
        <w:emboss w:val="0"/>
        <w:imprint w:val="0"/>
        <w:color w:val="ac0000"/>
        <w:spacing w:val="0"/>
        <w:w w:val="100"/>
        <w:kern w:val="0"/>
        <w:position w:val="0"/>
        <w:highlight w:val="none"/>
        <w:vertAlign w:val="baseline"/>
      </w:rPr>
    </w:lvl>
    <w:lvl w:ilvl="7">
      <w:start w:val="1"/>
      <w:numFmt w:val="bullet"/>
      <w:suff w:val="tab"/>
      <w:lvlText w:val="o"/>
      <w:lvlJc w:val="left"/>
      <w:pPr>
        <w:ind w:left="5155" w:hanging="115"/>
      </w:pPr>
      <w:rPr>
        <w:rFonts w:ascii="Arial Unicode MS" w:cs="Arial Unicode MS" w:hAnsi="Arial Unicode MS" w:eastAsia="Arial Unicode MS"/>
        <w:b w:val="0"/>
        <w:bCs w:val="0"/>
        <w:i w:val="0"/>
        <w:iCs w:val="0"/>
        <w:caps w:val="0"/>
        <w:smallCaps w:val="0"/>
        <w:strike w:val="0"/>
        <w:dstrike w:val="0"/>
        <w:outline w:val="0"/>
        <w:emboss w:val="0"/>
        <w:imprint w:val="0"/>
        <w:color w:val="ac0000"/>
        <w:spacing w:val="0"/>
        <w:w w:val="100"/>
        <w:kern w:val="0"/>
        <w:position w:val="0"/>
        <w:highlight w:val="none"/>
        <w:vertAlign w:val="baseline"/>
      </w:rPr>
    </w:lvl>
    <w:lvl w:ilvl="8">
      <w:start w:val="1"/>
      <w:numFmt w:val="bullet"/>
      <w:suff w:val="tab"/>
      <w:lvlText w:val="▪"/>
      <w:lvlJc w:val="left"/>
      <w:pPr>
        <w:ind w:left="5875" w:hanging="115"/>
      </w:pPr>
      <w:rPr>
        <w:rFonts w:ascii="Arial Unicode MS" w:cs="Arial Unicode MS" w:hAnsi="Arial Unicode MS" w:eastAsia="Arial Unicode MS"/>
        <w:b w:val="0"/>
        <w:bCs w:val="0"/>
        <w:i w:val="0"/>
        <w:iCs w:val="0"/>
        <w:caps w:val="0"/>
        <w:smallCaps w:val="0"/>
        <w:strike w:val="0"/>
        <w:dstrike w:val="0"/>
        <w:outline w:val="0"/>
        <w:emboss w:val="0"/>
        <w:imprint w:val="0"/>
        <w:color w:val="ac000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1"/>
      <w:strike w:val="0"/>
      <w:dstrike w:val="0"/>
      <w:outline w:val="0"/>
      <w:color w:val="ffffff"/>
      <w:spacing w:val="0"/>
      <w:kern w:val="0"/>
      <w:position w:val="0"/>
      <w:sz w:val="24"/>
      <w:szCs w:val="24"/>
      <w:u w:val="none" w:color="ffffff"/>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PMI Sidebar Subhead 2">
    <w:name w:val="PMI Sidebar Subhead 2"/>
    <w:next w:val="PMI Sidebar Subhead 2"/>
    <w:pPr>
      <w:keepNext w:val="0"/>
      <w:keepLines w:val="0"/>
      <w:pageBreakBefore w:val="0"/>
      <w:widowControl w:val="1"/>
      <w:shd w:val="clear" w:color="auto" w:fill="auto"/>
      <w:suppressAutoHyphens w:val="0"/>
      <w:bidi w:val="0"/>
      <w:spacing w:before="120" w:after="40" w:line="288"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5"/>
      <w:szCs w:val="15"/>
      <w:u w:val="none" w:color="000000"/>
      <w:vertAlign w:val="baseline"/>
      <w:lang w:val="en-US"/>
    </w:rPr>
  </w:style>
  <w:style w:type="character" w:styleId="Link">
    <w:name w:val="Link"/>
    <w:rPr>
      <w:rFonts w:ascii="Arial" w:cs="Arial" w:hAnsi="Arial" w:eastAsia="Arial"/>
      <w:b w:val="0"/>
      <w:bCs w:val="0"/>
      <w:i w:val="0"/>
      <w:iCs w:val="0"/>
      <w:color w:val="000000"/>
      <w:u w:val="none" w:color="000000"/>
    </w:rPr>
  </w:style>
  <w:style w:type="character" w:styleId="Hyperlink.0">
    <w:name w:val="Hyperlink.0"/>
    <w:basedOn w:val="Link"/>
    <w:next w:val="Hyperlink.0"/>
    <w:rPr>
      <w:sz w:val="16"/>
      <w:szCs w:val="16"/>
    </w:rPr>
  </w:style>
  <w:style w:type="paragraph" w:styleId="PMI Sidebar Body">
    <w:name w:val="PMI Sidebar Body"/>
    <w:next w:val="PMI Sidebar Body"/>
    <w:pPr>
      <w:keepNext w:val="0"/>
      <w:keepLines w:val="0"/>
      <w:pageBreakBefore w:val="0"/>
      <w:widowControl w:val="1"/>
      <w:shd w:val="clear" w:color="auto" w:fill="auto"/>
      <w:tabs>
        <w:tab w:val="left" w:pos="216"/>
      </w:tabs>
      <w:suppressAutoHyphens w:val="0"/>
      <w:bidi w:val="0"/>
      <w:spacing w:before="40" w:after="4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5"/>
      <w:szCs w:val="15"/>
      <w:u w:val="none" w:color="000000"/>
      <w:vertAlign w:val="baseline"/>
      <w:lang w:val="en-US"/>
    </w:rPr>
  </w:style>
  <w:style w:type="paragraph" w:styleId="PMI Sidebar Bullet">
    <w:name w:val="PMI Sidebar Bullet"/>
    <w:next w:val="PMI Sidebar Bullet"/>
    <w:pPr>
      <w:keepNext w:val="0"/>
      <w:keepLines w:val="0"/>
      <w:pageBreakBefore w:val="0"/>
      <w:widowControl w:val="1"/>
      <w:shd w:val="clear" w:color="auto" w:fill="auto"/>
      <w:tabs>
        <w:tab w:val="left" w:pos="115"/>
      </w:tabs>
      <w:suppressAutoHyphens w:val="0"/>
      <w:bidi w:val="0"/>
      <w:spacing w:before="40" w:after="4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5"/>
      <w:szCs w:val="15"/>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Primacy_PPTx_v2">
  <a:themeElements>
    <a:clrScheme name="Primacy_PPTx_v2">
      <a:dk1>
        <a:srgbClr val="000000"/>
      </a:dk1>
      <a:lt1>
        <a:srgbClr val="FFFFFF"/>
      </a:lt1>
      <a:dk2>
        <a:srgbClr val="A7A7A7"/>
      </a:dk2>
      <a:lt2>
        <a:srgbClr val="535353"/>
      </a:lt2>
      <a:accent1>
        <a:srgbClr val="F37321"/>
      </a:accent1>
      <a:accent2>
        <a:srgbClr val="4D4D4F"/>
      </a:accent2>
      <a:accent3>
        <a:srgbClr val="C8C8C8"/>
      </a:accent3>
      <a:accent4>
        <a:srgbClr val="E6E7E8"/>
      </a:accent4>
      <a:accent5>
        <a:srgbClr val="6D6E71"/>
      </a:accent5>
      <a:accent6>
        <a:srgbClr val="B1B3B6"/>
      </a:accent6>
      <a:hlink>
        <a:srgbClr val="0000FF"/>
      </a:hlink>
      <a:folHlink>
        <a:srgbClr val="FF00FF"/>
      </a:folHlink>
    </a:clrScheme>
    <a:fontScheme name="Primacy_PPTx_v2">
      <a:majorFont>
        <a:latin typeface="Helvetica"/>
        <a:ea typeface="Helvetica"/>
        <a:cs typeface="Helvetica"/>
      </a:majorFont>
      <a:minorFont>
        <a:latin typeface="Helvetica"/>
        <a:ea typeface="Helvetica"/>
        <a:cs typeface="Helvetica"/>
      </a:minorFont>
    </a:fontScheme>
    <a:fmtScheme name="Primacy_PPTx_v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